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FCAFE">
      <w:pPr>
        <w:spacing w:before="200" w:after="400" w:line="240" w:lineRule="auto"/>
        <w:jc w:val="center"/>
      </w:pPr>
      <w:r>
        <w:rPr>
          <w:rFonts w:ascii="黑体" w:hAnsi="黑体" w:eastAsia="黑体" w:cs="黑体"/>
          <w:b/>
          <w:bCs/>
          <w:sz w:val="44"/>
          <w:szCs w:val="44"/>
        </w:rPr>
        <w:t>充电柜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控制系统开发服务</w:t>
      </w:r>
      <w:r>
        <w:rPr>
          <w:rFonts w:ascii="黑体" w:hAnsi="黑体" w:eastAsia="黑体" w:cs="黑体"/>
          <w:b/>
          <w:bCs/>
          <w:sz w:val="44"/>
          <w:szCs w:val="44"/>
        </w:rPr>
        <w:t>合同</w:t>
      </w:r>
    </w:p>
    <w:p w14:paraId="5BADD6FF">
      <w:pPr>
        <w:spacing w:before="80" w:after="80" w:line="240" w:lineRule="auto"/>
        <w:jc w:val="right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sz w:val="22"/>
          <w:szCs w:val="22"/>
        </w:rPr>
        <w:t>合同编号：</w:t>
      </w:r>
      <w:bookmarkStart w:id="0" w:name="_GoBack"/>
      <w:r>
        <w:rPr>
          <w:rFonts w:hint="eastAsia" w:cs="宋体"/>
          <w:sz w:val="22"/>
          <w:szCs w:val="22"/>
          <w:lang w:val="en-US" w:eastAsia="zh-CN"/>
        </w:rPr>
        <w:t>KF-06062401</w:t>
      </w:r>
      <w:bookmarkEnd w:id="0"/>
    </w:p>
    <w:p w14:paraId="6DC4221D">
      <w:pPr>
        <w:spacing w:before="80" w:after="80" w:line="240" w:lineRule="auto"/>
        <w:jc w:val="left"/>
      </w:pPr>
      <w:r>
        <w:rPr>
          <w:rFonts w:ascii="宋体" w:hAnsi="宋体" w:eastAsia="宋体" w:cs="宋体"/>
          <w:b/>
          <w:bCs/>
          <w:sz w:val="24"/>
          <w:szCs w:val="24"/>
        </w:rPr>
        <w:t>甲方（委托方）：</w:t>
      </w:r>
    </w:p>
    <w:p w14:paraId="37DE6CEA">
      <w:pPr>
        <w:spacing w:before="80" w:after="80" w:line="240" w:lineRule="auto"/>
        <w:jc w:val="left"/>
      </w:pPr>
      <w:r>
        <w:rPr>
          <w:rFonts w:ascii="宋体" w:hAnsi="宋体" w:eastAsia="宋体" w:cs="宋体"/>
          <w:b/>
          <w:bCs/>
          <w:sz w:val="24"/>
          <w:szCs w:val="24"/>
        </w:rPr>
        <w:t>乙方（开发方）：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无锡市腾悦科技有限公司</w:t>
      </w:r>
    </w:p>
    <w:p w14:paraId="2A6CDE20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</w:t>
      </w:r>
      <w:r>
        <w:rPr>
          <w:rFonts w:ascii="宋体" w:hAnsi="宋体" w:eastAsia="宋体" w:cs="宋体"/>
          <w:b/>
          <w:bCs/>
          <w:sz w:val="32"/>
          <w:szCs w:val="32"/>
        </w:rPr>
        <w:t>条  项目概述</w:t>
      </w:r>
    </w:p>
    <w:p w14:paraId="7FF74CEC">
      <w:pPr>
        <w:numPr>
          <w:ilvl w:val="0"/>
          <w:numId w:val="1"/>
        </w:numPr>
        <w:spacing w:before="80" w:after="80" w:line="240" w:lineRule="auto"/>
        <w:ind w:left="425" w:leftChars="0" w:hanging="425" w:firstLineChars="0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项目名称：</w:t>
      </w:r>
      <w:r>
        <w:rPr>
          <w:rFonts w:hint="eastAsia" w:cs="宋体"/>
          <w:sz w:val="22"/>
          <w:szCs w:val="22"/>
          <w:lang w:val="en-US" w:eastAsia="zh-CN"/>
        </w:rPr>
        <w:t>充电柜控制板和软件控制系统</w:t>
      </w:r>
      <w:r>
        <w:rPr>
          <w:rFonts w:ascii="宋体" w:hAnsi="宋体" w:eastAsia="宋体" w:cs="宋体"/>
          <w:sz w:val="22"/>
          <w:szCs w:val="22"/>
        </w:rPr>
        <w:t>开发项目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2AF9D1A3">
      <w:pPr>
        <w:numPr>
          <w:ilvl w:val="0"/>
          <w:numId w:val="1"/>
        </w:numPr>
        <w:spacing w:before="80" w:after="80" w:line="240" w:lineRule="auto"/>
        <w:ind w:left="425" w:leftChars="0" w:hanging="425" w:firstLineChars="0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项目目标：开发充电柜配套的柜控主板、仓控主板、嵌入式固件、后台管理系统及微信小程序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73BBB1FE">
      <w:pPr>
        <w:numPr>
          <w:ilvl w:val="0"/>
          <w:numId w:val="1"/>
        </w:numPr>
        <w:spacing w:before="80" w:after="80" w:line="240" w:lineRule="auto"/>
        <w:ind w:left="425" w:leftChars="0" w:hanging="425" w:firstLineChars="0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交付成果：详见第五条。</w:t>
      </w:r>
    </w:p>
    <w:p w14:paraId="2FD78169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</w:t>
      </w:r>
      <w:r>
        <w:rPr>
          <w:rFonts w:ascii="宋体" w:hAnsi="宋体" w:eastAsia="宋体" w:cs="宋体"/>
          <w:b/>
          <w:bCs/>
          <w:sz w:val="32"/>
          <w:szCs w:val="32"/>
        </w:rPr>
        <w:t>条  开发内容</w:t>
      </w:r>
    </w:p>
    <w:p w14:paraId="7DDE82F8">
      <w:pPr>
        <w:numPr>
          <w:ilvl w:val="0"/>
          <w:numId w:val="2"/>
        </w:numPr>
        <w:spacing w:line="240" w:lineRule="auto"/>
        <w:ind w:left="425" w:leftChars="0" w:hanging="425" w:firstLineChars="0"/>
        <w:rPr>
          <w:sz w:val="22"/>
          <w:szCs w:val="22"/>
        </w:rPr>
      </w:pPr>
      <w:r>
        <w:rPr>
          <w:rFonts w:hint="eastAsia"/>
          <w:sz w:val="22"/>
          <w:szCs w:val="22"/>
          <w:lang w:val="en-US" w:eastAsia="zh-CN"/>
        </w:rPr>
        <w:t>硬件开发内容见：《</w:t>
      </w:r>
      <w:r>
        <w:rPr>
          <w:rFonts w:hint="eastAsia"/>
          <w:sz w:val="22"/>
          <w:szCs w:val="22"/>
        </w:rPr>
        <w:t>附件一-硬件规格</w:t>
      </w:r>
      <w:r>
        <w:rPr>
          <w:rFonts w:hint="eastAsia"/>
          <w:sz w:val="22"/>
          <w:szCs w:val="22"/>
          <w:lang w:eastAsia="zh-CN"/>
        </w:rPr>
        <w:t>》，</w:t>
      </w:r>
      <w:r>
        <w:rPr>
          <w:rFonts w:hint="eastAsia"/>
          <w:sz w:val="22"/>
          <w:szCs w:val="22"/>
          <w:lang w:val="en-US" w:eastAsia="zh-CN"/>
        </w:rPr>
        <w:t>软件开发内容：《附件二-软件规格》；</w:t>
      </w:r>
    </w:p>
    <w:p w14:paraId="55A0D978">
      <w:pPr>
        <w:numPr>
          <w:ilvl w:val="0"/>
          <w:numId w:val="2"/>
        </w:numPr>
        <w:spacing w:line="240" w:lineRule="auto"/>
        <w:ind w:left="425" w:leftChars="0" w:hanging="425" w:firstLineChars="0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乙方负责主板设计、元器件采购、焊接调试及联调支持。柜体、电源及外部器件由甲方提供。本合同不交付</w:t>
      </w:r>
      <w:r>
        <w:rPr>
          <w:rFonts w:hint="eastAsia" w:cs="宋体"/>
          <w:sz w:val="22"/>
          <w:szCs w:val="22"/>
          <w:lang w:val="en-US" w:eastAsia="zh-CN"/>
        </w:rPr>
        <w:t>MCU部分</w:t>
      </w:r>
      <w:r>
        <w:rPr>
          <w:rFonts w:ascii="宋体" w:hAnsi="宋体" w:eastAsia="宋体" w:cs="宋体"/>
          <w:sz w:val="22"/>
          <w:szCs w:val="22"/>
        </w:rPr>
        <w:t>源代码。</w:t>
      </w:r>
    </w:p>
    <w:p w14:paraId="40B956F0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</w:t>
      </w:r>
      <w:r>
        <w:rPr>
          <w:rFonts w:ascii="宋体" w:hAnsi="宋体" w:eastAsia="宋体" w:cs="宋体"/>
          <w:b/>
          <w:bCs/>
          <w:sz w:val="32"/>
          <w:szCs w:val="32"/>
        </w:rPr>
        <w:t>条  开发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周期</w:t>
      </w:r>
    </w:p>
    <w:tbl>
      <w:tblPr>
        <w:tblStyle w:val="1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45"/>
        <w:gridCol w:w="1568"/>
        <w:gridCol w:w="6770"/>
      </w:tblGrid>
      <w:tr w14:paraId="19967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7E6E6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3B2DAB9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阶段</w:t>
            </w:r>
          </w:p>
        </w:tc>
        <w:tc>
          <w:tcPr>
            <w:tcW w:w="7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7E6E6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06DEC6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时间</w:t>
            </w:r>
          </w:p>
        </w:tc>
        <w:tc>
          <w:tcPr>
            <w:tcW w:w="33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7E6E6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7D5E5A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交付物</w:t>
            </w:r>
          </w:p>
        </w:tc>
      </w:tr>
      <w:tr w14:paraId="17E31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085785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M1 方案定稿</w:t>
            </w:r>
          </w:p>
        </w:tc>
        <w:tc>
          <w:tcPr>
            <w:tcW w:w="7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68FD32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第1-2周</w:t>
            </w:r>
          </w:p>
        </w:tc>
        <w:tc>
          <w:tcPr>
            <w:tcW w:w="33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662C124">
            <w:pPr>
              <w:spacing w:before="0" w:after="0" w:line="240" w:lineRule="auto"/>
              <w:jc w:val="left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原理图、PCB、BOM、协议文档</w:t>
            </w:r>
          </w:p>
        </w:tc>
      </w:tr>
      <w:tr w14:paraId="6205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71CC92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M2 开发完成</w:t>
            </w:r>
          </w:p>
        </w:tc>
        <w:tc>
          <w:tcPr>
            <w:tcW w:w="7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401CBAE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第3-6周</w:t>
            </w:r>
          </w:p>
        </w:tc>
        <w:tc>
          <w:tcPr>
            <w:tcW w:w="33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73620E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硬件样板、固件、后台、小程序</w:t>
            </w:r>
          </w:p>
        </w:tc>
      </w:tr>
      <w:tr w14:paraId="217E5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69C450B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M3 联调完成</w:t>
            </w:r>
          </w:p>
        </w:tc>
        <w:tc>
          <w:tcPr>
            <w:tcW w:w="7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396F44E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第7-9周</w:t>
            </w:r>
          </w:p>
        </w:tc>
        <w:tc>
          <w:tcPr>
            <w:tcW w:w="33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01057B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集成测试报告</w:t>
            </w:r>
          </w:p>
        </w:tc>
      </w:tr>
      <w:tr w14:paraId="4465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6CE6AD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M4 验收交付</w:t>
            </w:r>
          </w:p>
        </w:tc>
        <w:tc>
          <w:tcPr>
            <w:tcW w:w="7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380E5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第10-12周</w:t>
            </w:r>
          </w:p>
        </w:tc>
        <w:tc>
          <w:tcPr>
            <w:tcW w:w="33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35193DD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>完整成品、技术文档</w:t>
            </w:r>
          </w:p>
        </w:tc>
      </w:tr>
    </w:tbl>
    <w:p w14:paraId="01A61DAD">
      <w:pPr>
        <w:pStyle w:val="2"/>
        <w:numPr>
          <w:ilvl w:val="0"/>
          <w:numId w:val="3"/>
        </w:numPr>
        <w:spacing w:before="360" w:after="200" w:line="240" w:lineRule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ascii="宋体" w:hAnsi="宋体" w:eastAsia="宋体" w:cs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付款和开票方式</w:t>
      </w:r>
    </w:p>
    <w:p w14:paraId="512CC474">
      <w:pPr>
        <w:numPr>
          <w:ilvl w:val="0"/>
          <w:numId w:val="4"/>
        </w:numPr>
        <w:spacing w:line="240" w:lineRule="auto"/>
        <w:ind w:left="425" w:leftChars="0" w:hanging="425" w:firstLineChars="0"/>
        <w:rPr>
          <w:sz w:val="22"/>
          <w:szCs w:val="22"/>
        </w:rPr>
      </w:pPr>
      <w:r>
        <w:rPr>
          <w:rFonts w:hint="eastAsia"/>
          <w:sz w:val="22"/>
          <w:szCs w:val="22"/>
          <w:lang w:val="en-US" w:eastAsia="zh-CN"/>
        </w:rPr>
        <w:t>PCB主板和MCU程序开发部分15000，物联网平台软件和小程序部分15000；</w:t>
      </w:r>
    </w:p>
    <w:p w14:paraId="72DC18F1">
      <w:pPr>
        <w:numPr>
          <w:ilvl w:val="0"/>
          <w:numId w:val="4"/>
        </w:numPr>
        <w:spacing w:line="240" w:lineRule="auto"/>
        <w:ind w:left="425" w:leftChars="0" w:hanging="425" w:firstLineChars="0"/>
        <w:rPr>
          <w:sz w:val="22"/>
          <w:szCs w:val="22"/>
        </w:rPr>
      </w:pPr>
      <w:r>
        <w:rPr>
          <w:rFonts w:hint="eastAsia"/>
          <w:sz w:val="22"/>
          <w:szCs w:val="22"/>
          <w:lang w:val="en-US" w:eastAsia="zh-CN"/>
        </w:rPr>
        <w:t>合同总额￥30000.00元人民币，签订后甲方在3个工作日内向乙方支付50%预付款；</w:t>
      </w:r>
    </w:p>
    <w:p w14:paraId="193E0752">
      <w:pPr>
        <w:numPr>
          <w:ilvl w:val="0"/>
          <w:numId w:val="4"/>
        </w:numPr>
        <w:spacing w:line="240" w:lineRule="auto"/>
        <w:ind w:left="425" w:leftChars="0" w:hanging="425" w:firstLineChars="0"/>
        <w:rPr>
          <w:sz w:val="22"/>
          <w:szCs w:val="22"/>
        </w:rPr>
      </w:pPr>
      <w:r>
        <w:rPr>
          <w:rFonts w:hint="eastAsia" w:cs="宋体"/>
          <w:sz w:val="22"/>
          <w:szCs w:val="22"/>
          <w:lang w:val="en-US" w:eastAsia="zh-CN"/>
        </w:rPr>
        <w:t>乙方开发完成交付上线运行，甲方验收确认后3个工作日内支付余款</w:t>
      </w:r>
      <w:r>
        <w:rPr>
          <w:rFonts w:hint="eastAsia"/>
          <w:sz w:val="22"/>
          <w:szCs w:val="22"/>
          <w:lang w:val="en-US" w:eastAsia="zh-CN"/>
        </w:rPr>
        <w:t>￥15000.00人民币；</w:t>
      </w:r>
    </w:p>
    <w:p w14:paraId="39115E6A">
      <w:pPr>
        <w:numPr>
          <w:ilvl w:val="0"/>
          <w:numId w:val="4"/>
        </w:numPr>
        <w:spacing w:line="240" w:lineRule="auto"/>
        <w:ind w:left="425" w:leftChars="0" w:hanging="425" w:firstLineChars="0"/>
        <w:rPr>
          <w:sz w:val="22"/>
          <w:szCs w:val="22"/>
        </w:rPr>
      </w:pPr>
      <w:r>
        <w:rPr>
          <w:rFonts w:hint="eastAsia"/>
          <w:sz w:val="22"/>
          <w:szCs w:val="22"/>
          <w:lang w:val="en-US" w:eastAsia="zh-CN"/>
        </w:rPr>
        <w:t>完成交付乙方收到全部款项后乙方向甲方开具￥30000.00元人民币的6%增值税专用发票；</w:t>
      </w:r>
    </w:p>
    <w:p w14:paraId="2CB96C34">
      <w:pPr>
        <w:numPr>
          <w:ilvl w:val="0"/>
          <w:numId w:val="4"/>
        </w:numPr>
        <w:spacing w:line="240" w:lineRule="auto"/>
        <w:ind w:left="425" w:leftChars="0" w:hanging="425" w:firstLineChars="0"/>
        <w:rPr>
          <w:sz w:val="22"/>
          <w:szCs w:val="22"/>
        </w:rPr>
      </w:pPr>
      <w:r>
        <w:rPr>
          <w:rFonts w:hint="eastAsia" w:cs="宋体"/>
          <w:sz w:val="22"/>
          <w:szCs w:val="22"/>
          <w:lang w:val="en-US" w:eastAsia="zh-CN"/>
        </w:rPr>
        <w:t>后续PCB生产与本合同无关，需另行签订订货合同。</w:t>
      </w:r>
    </w:p>
    <w:p w14:paraId="2D12D599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第五条  交付验收</w:t>
      </w:r>
    </w:p>
    <w:p w14:paraId="68B56DB7">
      <w:pPr>
        <w:spacing w:before="80" w:after="80" w:line="240" w:lineRule="auto"/>
        <w:ind w:firstLine="500" w:firstLineChars="0"/>
        <w:jc w:val="both"/>
      </w:pPr>
      <w:r>
        <w:rPr>
          <w:rFonts w:ascii="宋体" w:hAnsi="宋体" w:eastAsia="宋体" w:cs="宋体"/>
          <w:sz w:val="22"/>
          <w:szCs w:val="22"/>
        </w:rPr>
        <w:t>交付物清单及验收标准详见</w:t>
      </w:r>
      <w:r>
        <w:rPr>
          <w:rFonts w:hint="eastAsia" w:cs="宋体"/>
          <w:sz w:val="22"/>
          <w:szCs w:val="22"/>
          <w:lang w:eastAsia="zh-CN"/>
        </w:rPr>
        <w:t>《</w:t>
      </w:r>
      <w:r>
        <w:rPr>
          <w:rFonts w:hint="eastAsia" w:ascii="宋体" w:hAnsi="宋体" w:eastAsia="宋体" w:cs="宋体"/>
          <w:sz w:val="22"/>
          <w:szCs w:val="22"/>
        </w:rPr>
        <w:t>附件三-交付与验收标准</w:t>
      </w:r>
      <w:r>
        <w:rPr>
          <w:rFonts w:hint="eastAsia" w:cs="宋体"/>
          <w:sz w:val="22"/>
          <w:szCs w:val="22"/>
          <w:lang w:eastAsia="zh-CN"/>
        </w:rPr>
        <w:t>》</w:t>
      </w:r>
      <w:r>
        <w:rPr>
          <w:rFonts w:ascii="宋体" w:hAnsi="宋体" w:eastAsia="宋体" w:cs="宋体"/>
          <w:sz w:val="22"/>
          <w:szCs w:val="22"/>
        </w:rPr>
        <w:t>。整机验收时乙方到甲方现场完成联调，验收所需柜体及电源由甲方提供。</w:t>
      </w:r>
    </w:p>
    <w:p w14:paraId="52575D3C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第六条  知识产权</w:t>
      </w:r>
    </w:p>
    <w:p w14:paraId="72FDCD0C">
      <w:pPr>
        <w:spacing w:before="80" w:after="80" w:line="240" w:lineRule="auto"/>
        <w:jc w:val="both"/>
        <w:rPr>
          <w:rFonts w:hint="eastAsia" w:eastAsia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1. 乙方在本合同履行过程中产生的全部技术成果（包括但不限于设计图纸、技术文档等）的知识产权归甲乙双方共同所有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3F4A24A1">
      <w:pPr>
        <w:spacing w:before="80" w:after="80" w:line="240" w:lineRule="auto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2. 任何一方均有权在自身业务范围内自由使用上述技术成果，无需征得另一方同意或另行支付费用。</w:t>
      </w:r>
    </w:p>
    <w:p w14:paraId="33F655F6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第七条  保密条款</w:t>
      </w:r>
    </w:p>
    <w:p w14:paraId="7210C5BE">
      <w:pPr>
        <w:spacing w:before="80" w:after="80" w:line="240" w:lineRule="auto"/>
        <w:jc w:val="both"/>
        <w:rPr>
          <w:rFonts w:hint="eastAsia" w:eastAsia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1. 双方对合同履行过程中知悉的对方商业秘密、技术秘密负有保密义务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23266E12">
      <w:pPr>
        <w:spacing w:before="80" w:after="80" w:line="240" w:lineRule="auto"/>
        <w:jc w:val="both"/>
        <w:rPr>
          <w:rFonts w:hint="eastAsia" w:eastAsia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2. 保密期限自合同生效之日起3年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3348FD16">
      <w:pPr>
        <w:spacing w:before="80" w:after="80" w:line="240" w:lineRule="auto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3. 未经对方书面同意，不得向第三方披露任何与本合同相关的信息。</w:t>
      </w:r>
    </w:p>
    <w:p w14:paraId="0694723F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第八条  质保与维护</w:t>
      </w:r>
    </w:p>
    <w:p w14:paraId="0A5F96D0">
      <w:pPr>
        <w:spacing w:before="80" w:after="80" w:line="240" w:lineRule="auto"/>
        <w:jc w:val="both"/>
        <w:rPr>
          <w:rFonts w:hint="eastAsia" w:eastAsia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1. 硬件质保期自验收通过之日起12个月，质保期内免费维修或更换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05E30CEC">
      <w:pPr>
        <w:spacing w:before="80" w:after="80" w:line="240" w:lineRule="auto"/>
        <w:jc w:val="both"/>
        <w:rPr>
          <w:rFonts w:hint="eastAsia" w:eastAsia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2. 软件质保期自验收通过之日起</w:t>
      </w:r>
      <w:r>
        <w:rPr>
          <w:rFonts w:hint="eastAsia" w:cs="宋体"/>
          <w:sz w:val="22"/>
          <w:szCs w:val="22"/>
          <w:lang w:val="en-US" w:eastAsia="zh-CN"/>
        </w:rPr>
        <w:t>12</w:t>
      </w:r>
      <w:r>
        <w:rPr>
          <w:rFonts w:ascii="宋体" w:hAnsi="宋体" w:eastAsia="宋体" w:cs="宋体"/>
          <w:sz w:val="22"/>
          <w:szCs w:val="22"/>
        </w:rPr>
        <w:t>个月，质保期内免费修复Bug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298E940D">
      <w:pPr>
        <w:spacing w:before="80" w:after="80" w:line="240" w:lineRule="auto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3. 质保期外的维护服务费用由双方另行协商。</w:t>
      </w:r>
    </w:p>
    <w:p w14:paraId="1621808C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第九条  违约责任</w:t>
      </w:r>
    </w:p>
    <w:p w14:paraId="079D64A1">
      <w:pPr>
        <w:spacing w:before="80" w:after="80" w:line="240" w:lineRule="auto"/>
        <w:jc w:val="both"/>
        <w:rPr>
          <w:rFonts w:hint="eastAsia" w:eastAsia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1. 甲方逾期付款的，每逾期一日按应付未付金额的千分之三支付违约金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5E73FBC5">
      <w:pPr>
        <w:spacing w:before="80" w:after="80" w:line="240" w:lineRule="auto"/>
        <w:jc w:val="both"/>
        <w:rPr>
          <w:rFonts w:hint="eastAsia" w:eastAsia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2. 乙方逾期交付的，每逾期一日按合同总金额的千分之三支付违约金</w:t>
      </w:r>
      <w:r>
        <w:rPr>
          <w:rFonts w:hint="eastAsia" w:cs="宋体"/>
          <w:sz w:val="22"/>
          <w:szCs w:val="22"/>
          <w:lang w:eastAsia="zh-CN"/>
        </w:rPr>
        <w:t>；</w:t>
      </w:r>
    </w:p>
    <w:p w14:paraId="06E40E2D">
      <w:pPr>
        <w:spacing w:before="80" w:after="80" w:line="240" w:lineRule="auto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3. 任何一方违反知识产权或保密条款的，应赔偿对方全部损失。</w:t>
      </w:r>
    </w:p>
    <w:p w14:paraId="56BF5A6C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第十条  争议解决</w:t>
      </w:r>
    </w:p>
    <w:p w14:paraId="6EB32C18">
      <w:pPr>
        <w:spacing w:before="80" w:after="80" w:line="240" w:lineRule="auto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本合同履行过程中发生争议的，双方应协商解决；协商不成的，提交合同签订地人民法院诉讼解决。</w:t>
      </w:r>
    </w:p>
    <w:p w14:paraId="2E476CF0">
      <w:pPr>
        <w:pStyle w:val="2"/>
        <w:spacing w:before="360" w:after="200" w:line="240" w:lineRule="auto"/>
      </w:pPr>
      <w:r>
        <w:rPr>
          <w:rFonts w:ascii="宋体" w:hAnsi="宋体" w:eastAsia="宋体" w:cs="宋体"/>
          <w:b/>
          <w:bCs/>
          <w:sz w:val="32"/>
          <w:szCs w:val="32"/>
        </w:rPr>
        <w:t>第十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</w:t>
      </w:r>
      <w:r>
        <w:rPr>
          <w:rFonts w:ascii="宋体" w:hAnsi="宋体" w:eastAsia="宋体" w:cs="宋体"/>
          <w:b/>
          <w:bCs/>
          <w:sz w:val="32"/>
          <w:szCs w:val="32"/>
        </w:rPr>
        <w:t>条  其他</w:t>
      </w:r>
    </w:p>
    <w:p w14:paraId="73BDDE2E">
      <w:pPr>
        <w:spacing w:before="80" w:after="80" w:line="240" w:lineRule="auto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1. 本合同一式两份，甲乙双方各执一份，具有同等法律效力。</w:t>
      </w:r>
    </w:p>
    <w:p w14:paraId="3008A957">
      <w:pPr>
        <w:spacing w:before="80" w:after="80" w:line="240" w:lineRule="auto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2. 本合同附件</w:t>
      </w:r>
      <w:r>
        <w:rPr>
          <w:rFonts w:hint="eastAsia" w:cs="宋体"/>
          <w:sz w:val="22"/>
          <w:szCs w:val="22"/>
          <w:lang w:eastAsia="zh-CN"/>
        </w:rPr>
        <w:t>《</w:t>
      </w:r>
      <w:r>
        <w:rPr>
          <w:rFonts w:hint="eastAsia" w:ascii="宋体" w:hAnsi="宋体" w:eastAsia="宋体" w:cs="宋体"/>
          <w:sz w:val="22"/>
          <w:szCs w:val="22"/>
        </w:rPr>
        <w:t>附件一-硬件规格</w:t>
      </w:r>
      <w:r>
        <w:rPr>
          <w:rFonts w:hint="eastAsia" w:cs="宋体"/>
          <w:sz w:val="22"/>
          <w:szCs w:val="22"/>
          <w:lang w:eastAsia="zh-CN"/>
        </w:rPr>
        <w:t>》《附件二-软件规格》《附件三-交付与验收标准》</w:t>
      </w:r>
      <w:r>
        <w:rPr>
          <w:rFonts w:ascii="宋体" w:hAnsi="宋体" w:eastAsia="宋体" w:cs="宋体"/>
          <w:sz w:val="22"/>
          <w:szCs w:val="22"/>
        </w:rPr>
        <w:t>为合同的组成部分，与本合同具有同等法律效力。</w:t>
      </w:r>
    </w:p>
    <w:p w14:paraId="169F5999">
      <w:pPr>
        <w:spacing w:before="80" w:after="80" w:line="240" w:lineRule="auto"/>
        <w:jc w:val="both"/>
        <w:rPr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3. 未尽事宜，双方可另行签订补充协议。</w:t>
      </w:r>
    </w:p>
    <w:p w14:paraId="7A04EB27">
      <w:pPr>
        <w:spacing w:line="240" w:lineRule="auto"/>
      </w:pPr>
    </w:p>
    <w:tbl>
      <w:tblPr>
        <w:tblStyle w:val="1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1"/>
        <w:gridCol w:w="4981"/>
      </w:tblGrid>
      <w:tr w14:paraId="205BB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5" w:type="dxa"/>
          </w:tcPr>
          <w:p w14:paraId="729045DE">
            <w:pPr>
              <w:spacing w:after="0" w:line="240" w:lineRule="auto"/>
              <w:rPr>
                <w:rFonts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甲方：</w:t>
            </w:r>
          </w:p>
          <w:p w14:paraId="66CE8AAF">
            <w:pPr>
              <w:spacing w:after="0" w:line="240" w:lineRule="auto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统一社会信用代码：</w:t>
            </w:r>
          </w:p>
          <w:p w14:paraId="78085195">
            <w:pPr>
              <w:spacing w:after="0" w:line="360" w:lineRule="auto"/>
              <w:rPr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（盖章）</w:t>
            </w:r>
          </w:p>
          <w:p w14:paraId="5662CF86">
            <w:pPr>
              <w:spacing w:after="0" w:line="360" w:lineRule="auto"/>
              <w:rPr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代表（签字）：</w:t>
            </w:r>
          </w:p>
          <w:p w14:paraId="2B195D51">
            <w:pPr>
              <w:spacing w:after="0" w:line="360" w:lineRule="auto"/>
              <w:rPr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联系电话：</w:t>
            </w:r>
          </w:p>
          <w:p w14:paraId="4575BDAD">
            <w:pPr>
              <w:spacing w:after="0" w:line="360" w:lineRule="auto"/>
            </w:pPr>
            <w:r>
              <w:rPr>
                <w:rFonts w:ascii="仿宋" w:hAnsi="仿宋" w:eastAsia="仿宋"/>
              </w:rPr>
              <w:t>签订时间：    年    月    日</w:t>
            </w:r>
          </w:p>
        </w:tc>
        <w:tc>
          <w:tcPr>
            <w:tcW w:w="4535" w:type="dxa"/>
          </w:tcPr>
          <w:p w14:paraId="3ED4BDA1">
            <w:pPr>
              <w:spacing w:after="0" w:line="240" w:lineRule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乙方：</w:t>
            </w:r>
            <w:r>
              <w:rPr>
                <w:rFonts w:hint="eastAsia" w:ascii="仿宋" w:hAnsi="仿宋" w:eastAsia="仿宋"/>
                <w:lang w:eastAsia="zh-CN"/>
              </w:rPr>
              <w:t>无锡市腾悦科技有限公司</w:t>
            </w:r>
          </w:p>
          <w:p w14:paraId="50C6FF9B">
            <w:pPr>
              <w:spacing w:after="0" w:line="240" w:lineRule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统一社会信用代码：</w:t>
            </w:r>
            <w:r>
              <w:rPr>
                <w:rFonts w:hint="eastAsia" w:ascii="仿宋" w:hAnsi="仿宋" w:eastAsia="仿宋"/>
                <w:lang w:eastAsia="zh-CN"/>
              </w:rPr>
              <w:t>913202036835035110</w:t>
            </w:r>
          </w:p>
          <w:p w14:paraId="07B1804B">
            <w:pPr>
              <w:spacing w:after="0" w:line="360" w:lineRule="auto"/>
              <w:rPr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（盖章）</w:t>
            </w:r>
          </w:p>
          <w:p w14:paraId="39E45492">
            <w:pPr>
              <w:spacing w:after="0" w:line="360" w:lineRule="auto"/>
              <w:rPr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代表（签字）：</w:t>
            </w:r>
          </w:p>
          <w:p w14:paraId="768479CE">
            <w:pPr>
              <w:spacing w:after="0" w:line="360" w:lineRule="auto"/>
              <w:rPr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联系电话：</w:t>
            </w:r>
          </w:p>
          <w:p w14:paraId="0B8DCD80">
            <w:pPr>
              <w:spacing w:after="0" w:line="360" w:lineRule="auto"/>
              <w:rPr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签订时间：    年    月    日</w:t>
            </w:r>
          </w:p>
        </w:tc>
      </w:tr>
    </w:tbl>
    <w:p w14:paraId="6B8B8402">
      <w:r>
        <w:br w:type="page"/>
      </w:r>
    </w:p>
    <w:p w14:paraId="7E71B885">
      <w:pPr>
        <w:pStyle w:val="2"/>
        <w:bidi w:val="0"/>
      </w:pPr>
      <w:r>
        <w:t>附件一：硬件规格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所属</w:t>
      </w:r>
      <w:r>
        <w:rPr>
          <w:rFonts w:hint="eastAsia"/>
        </w:rPr>
        <w:t xml:space="preserve">合同编号： </w:t>
      </w:r>
      <w:r>
        <w:rPr>
          <w:rFonts w:hint="eastAsia" w:cs="宋体"/>
          <w:sz w:val="22"/>
          <w:szCs w:val="22"/>
          <w:u w:val="single"/>
          <w:lang w:val="en-US" w:eastAsia="zh-CN"/>
        </w:rPr>
        <w:t>KF-06062401</w:t>
      </w:r>
    </w:p>
    <w:p w14:paraId="47F1B782">
      <w:pPr>
        <w:pStyle w:val="3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第1章 柜控主板（ID128）硬件规格</w:t>
      </w:r>
    </w:p>
    <w:p w14:paraId="4B89E6A9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1.1 基本参数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5"/>
        <w:gridCol w:w="8280"/>
      </w:tblGrid>
      <w:tr w14:paraId="6D746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79E1B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项目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0B274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参数</w:t>
            </w:r>
          </w:p>
        </w:tc>
      </w:tr>
      <w:tr w14:paraId="28A80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CB829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板卡数量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F152E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3块（含1块备板）</w:t>
            </w:r>
          </w:p>
        </w:tc>
      </w:tr>
      <w:tr w14:paraId="1F7B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A7370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MCU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962A0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内置MCU控制器，支持OTA固件升级</w:t>
            </w:r>
          </w:p>
        </w:tc>
      </w:tr>
      <w:tr w14:paraId="103B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29533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供电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A3E83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12V直流输入（预接触器，常供电）</w:t>
            </w:r>
          </w:p>
        </w:tc>
      </w:tr>
      <w:tr w14:paraId="246F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67700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后备电源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7F55E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后备电池自动切换（可选），维持板子供电与4G通讯</w:t>
            </w:r>
          </w:p>
        </w:tc>
      </w:tr>
      <w:tr w14:paraId="3E7C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7F343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工作温度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886B6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-10℃ ~ +70℃</w:t>
            </w:r>
          </w:p>
        </w:tc>
      </w:tr>
      <w:tr w14:paraId="6B800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75F21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工作湿度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F8A0C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10% ~ 90%</w:t>
            </w:r>
          </w:p>
        </w:tc>
      </w:tr>
      <w:tr w14:paraId="44CC8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008BB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PCB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E458C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双面板/四层板，根据设计复杂度确定</w:t>
            </w:r>
          </w:p>
        </w:tc>
      </w:tr>
    </w:tbl>
    <w:p w14:paraId="7B376C04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1.2 接口规格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4"/>
        <w:gridCol w:w="8201"/>
      </w:tblGrid>
      <w:tr w14:paraId="18996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4B635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FEB76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规格</w:t>
            </w:r>
          </w:p>
        </w:tc>
      </w:tr>
      <w:tr w14:paraId="5C11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402B84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485接口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0344D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1路隔离RS485，与6个仓控板通讯，光耦隔离保护，波特率9600</w:t>
            </w:r>
          </w:p>
        </w:tc>
      </w:tr>
      <w:tr w14:paraId="53987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129A5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485电表接口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ED440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1路隔离RS485，接DL/T645电表，读取耗电量数据</w:t>
            </w:r>
          </w:p>
        </w:tc>
      </w:tr>
      <w:tr w14:paraId="5B2D1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18F04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4G模块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353159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Air780E，自定义TCP协议长连接</w:t>
            </w:r>
          </w:p>
        </w:tc>
      </w:tr>
      <w:tr w14:paraId="0F49E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82971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烟感接口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A1119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1路开关量输入，中断触发</w:t>
            </w:r>
          </w:p>
        </w:tc>
      </w:tr>
      <w:tr w14:paraId="2BFB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B0FA8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浸水接口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6F5E6C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1路开关量输入，中断触发</w:t>
            </w:r>
          </w:p>
        </w:tc>
      </w:tr>
      <w:tr w14:paraId="473A0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C3B0F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倾倒检测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7200C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1路开关量输入，中断触发</w:t>
            </w:r>
          </w:p>
        </w:tc>
      </w:tr>
      <w:tr w14:paraId="1932E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5E765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环境温控接口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40DB8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1路，适配NTC/DS18B20</w:t>
            </w:r>
          </w:p>
        </w:tc>
      </w:tr>
      <w:tr w14:paraId="40EF7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A7BA5D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门锁控制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927BE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1路MOS管/三极管驱动输出 + 1路门磁反馈输入，控制柜体电控锁并检测锁状态</w:t>
            </w:r>
          </w:p>
        </w:tc>
      </w:tr>
      <w:tr w14:paraId="67D7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BEB36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接触器控制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852CB7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1路继电器输出，控制常开接触器（默认断开，给信号吸合）</w:t>
            </w:r>
          </w:p>
        </w:tc>
      </w:tr>
      <w:tr w14:paraId="7F567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47CF1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喷淋电磁阀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4769C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1路继电器输出，烟感触发时自动打开</w:t>
            </w:r>
          </w:p>
        </w:tc>
      </w:tr>
      <w:tr w14:paraId="58729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F4668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加热风扇继电器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32598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1路独立继电器输出，220V/10A</w:t>
            </w:r>
          </w:p>
        </w:tc>
      </w:tr>
      <w:tr w14:paraId="59E38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EDDAC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电磁泵继电器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F9273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1路继电器输出</w:t>
            </w:r>
          </w:p>
        </w:tc>
      </w:tr>
      <w:tr w14:paraId="5A1CC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3995BD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接触器按钮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C3DAC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2个物理按钮：合闸按钮（吸合接触器）、分闸按钮（断开接触器）</w:t>
            </w:r>
          </w:p>
        </w:tc>
      </w:tr>
      <w:tr w14:paraId="0608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DD85A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存储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052E8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Flash，存储BMS类型/报警阈值/无协议充电参数</w:t>
            </w:r>
          </w:p>
        </w:tc>
      </w:tr>
    </w:tbl>
    <w:p w14:paraId="1B5CE3AA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1.3 供电时序</w:t>
      </w:r>
    </w:p>
    <w:p w14:paraId="4FE945EC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 w:line="240" w:lineRule="auto"/>
        <w:ind w:left="720" w:hanging="36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主电源12V预接触器接入，柜控板常供电</w:t>
      </w:r>
    </w:p>
    <w:p w14:paraId="755E2BB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 w:line="240" w:lineRule="auto"/>
        <w:ind w:left="720" w:hanging="36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后备电池（可选）在380V断电时自动切换，维持板子供电与远程通讯</w:t>
      </w:r>
    </w:p>
    <w:p w14:paraId="2B27C17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 w:line="240" w:lineRule="auto"/>
        <w:ind w:left="720" w:hanging="36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接触器默认断开，上电后自动吸合恢复供电</w:t>
      </w:r>
    </w:p>
    <w:p w14:paraId="3F58D45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 w:line="240" w:lineRule="auto"/>
        <w:ind w:left="720" w:hanging="36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平台可远程下发恢复指令吸合接触器</w:t>
      </w:r>
    </w:p>
    <w:p w14:paraId="13DC2FBE">
      <w:pPr>
        <w:pStyle w:val="3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第2章 仓控主板（ID1-6）硬件规格</w:t>
      </w:r>
    </w:p>
    <w:p w14:paraId="52B8464D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2.1 基本参数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6"/>
        <w:gridCol w:w="7869"/>
      </w:tblGrid>
      <w:tr w14:paraId="27357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46937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项目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ED1F4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参数</w:t>
            </w:r>
          </w:p>
        </w:tc>
      </w:tr>
      <w:tr w14:paraId="2E8CD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C5E735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板卡数量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FE11A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10块（含4块备板）</w:t>
            </w:r>
          </w:p>
        </w:tc>
      </w:tr>
      <w:tr w14:paraId="74B5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1411F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MCU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234BAC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内置MCU控制器，支持OTA固件升级</w:t>
            </w:r>
          </w:p>
        </w:tc>
      </w:tr>
      <w:tr w14:paraId="73821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FBCD5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供电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E4006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由柜控板统一供电（12V）</w:t>
            </w:r>
          </w:p>
        </w:tc>
      </w:tr>
      <w:tr w14:paraId="572AF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AEB35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工作温度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C9E22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-10℃ ~ +70℃</w:t>
            </w:r>
          </w:p>
        </w:tc>
      </w:tr>
      <w:tr w14:paraId="3B7A9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BF2B6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ID设置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976CC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4位拨码开关，设置485从站ID（1-6）</w:t>
            </w:r>
          </w:p>
        </w:tc>
      </w:tr>
    </w:tbl>
    <w:p w14:paraId="1D0E5941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2.2 接口规格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1"/>
        <w:gridCol w:w="8644"/>
      </w:tblGrid>
      <w:tr w14:paraId="03BD4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D98B2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826F2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规格</w:t>
            </w:r>
          </w:p>
        </w:tc>
      </w:tr>
      <w:tr w14:paraId="15D28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58FA5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485接口×3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F9C03F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全部隔离：1路接柜控板（ID128）、1路接BMS总线（6仓体共用）、1路接所属电源模块</w:t>
            </w:r>
          </w:p>
        </w:tc>
      </w:tr>
      <w:tr w14:paraId="6AE3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8D1BA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光耦隔离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33474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3路485均做光耦隔离保护</w:t>
            </w:r>
          </w:p>
        </w:tc>
      </w:tr>
      <w:tr w14:paraId="60404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EC880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温控接口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C199FB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6路，适配NTC/DS18B20（可选）</w:t>
            </w:r>
          </w:p>
        </w:tc>
      </w:tr>
      <w:tr w14:paraId="0CF1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60DF2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指示灯接口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E9FD8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6路，支持绿灯/红灯控制</w:t>
            </w:r>
          </w:p>
        </w:tc>
      </w:tr>
    </w:tbl>
    <w:p w14:paraId="287795F2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2.3 物料清单（乙方供）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17"/>
        <w:gridCol w:w="1577"/>
        <w:gridCol w:w="4491"/>
      </w:tblGrid>
      <w:tr w14:paraId="10597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799F2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物料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4E87A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数量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7E696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说明</w:t>
            </w:r>
          </w:p>
        </w:tc>
      </w:tr>
      <w:tr w14:paraId="52A59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6E3B8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4G模块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262A4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3个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B4B6D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Air780E（用于柜控板）</w:t>
            </w:r>
          </w:p>
        </w:tc>
      </w:tr>
      <w:tr w14:paraId="31A44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8D2A6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光耦隔离芯片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A25AA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100个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560C8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485隔离用</w:t>
            </w:r>
          </w:p>
        </w:tc>
      </w:tr>
      <w:tr w14:paraId="7E327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86122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状态指示灯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E7770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50个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A0293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红绿双色</w:t>
            </w:r>
          </w:p>
        </w:tc>
      </w:tr>
      <w:tr w14:paraId="061B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2F7EC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拨码开关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16DCF9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10个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F32A9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4位</w:t>
            </w:r>
          </w:p>
        </w:tc>
      </w:tr>
      <w:tr w14:paraId="5E167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6F724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PCB打样及焊接辅料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7963F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1批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8FEB1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含钢网/样板焊接</w:t>
            </w:r>
          </w:p>
        </w:tc>
      </w:tr>
    </w:tbl>
    <w:p w14:paraId="692F0FDB">
      <w:pPr>
        <w:pStyle w:val="3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第3章 MCU固件需求</w:t>
      </w:r>
    </w:p>
    <w:p w14:paraId="3197D4A2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3.1 柜控板固件（1个工程）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5"/>
        <w:gridCol w:w="8110"/>
      </w:tblGrid>
      <w:tr w14:paraId="7C614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5E1D4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功能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92606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说明</w:t>
            </w:r>
          </w:p>
        </w:tc>
      </w:tr>
      <w:tr w14:paraId="3BD2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3137A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485主站通讯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B5EA4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与仓控板ID1-6双向寻址通讯，响应延迟≤0.5s</w:t>
            </w:r>
          </w:p>
        </w:tc>
      </w:tr>
      <w:tr w14:paraId="591D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80A1F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4G TCP通讯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5820E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与后台平台自定义TCP长连接，含心跳/断线重连/数据缓存补偿</w:t>
            </w:r>
          </w:p>
        </w:tc>
      </w:tr>
      <w:tr w14:paraId="44CD8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57C14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指令转发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DDC08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接收平台充电控制/门锁/配置等指令，转发至对应仓控板</w:t>
            </w:r>
          </w:p>
        </w:tc>
      </w:tr>
      <w:tr w14:paraId="37AA9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04484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安全监测联动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686B3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烟感/浸水/倾倒检测，触发后断开接触器+打开喷淋电磁阀</w:t>
            </w:r>
          </w:p>
        </w:tc>
      </w:tr>
      <w:tr w14:paraId="73946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D10D2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电表采集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8D2D1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通过独立485接口按DL/T645协议读取电表耗电量，定时上报平台</w:t>
            </w:r>
          </w:p>
        </w:tc>
      </w:tr>
      <w:tr w14:paraId="07D4E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A137F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辅助设备控制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04030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加热风扇自动温控（&lt;0°C开/≥25°C停）、电磁泵远程通断</w:t>
            </w:r>
          </w:p>
        </w:tc>
      </w:tr>
      <w:tr w14:paraId="5DBA8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BCFC9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门锁控制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D5FBC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接收平台开门指令，直接控制柜体电控锁</w:t>
            </w:r>
          </w:p>
        </w:tc>
      </w:tr>
      <w:tr w14:paraId="16BAF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BC94B0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OTA升级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1A092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接收平台固件包，本地升级或分片转发仓控板</w:t>
            </w:r>
          </w:p>
        </w:tc>
      </w:tr>
      <w:tr w14:paraId="1354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D0973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配置管理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A7DB4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BMS协议类型、报警阈值、无协议充电参数的存储与下发</w:t>
            </w:r>
          </w:p>
        </w:tc>
      </w:tr>
    </w:tbl>
    <w:p w14:paraId="2DE200BC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3.2 仓控板固件（1个工程）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7"/>
        <w:gridCol w:w="7798"/>
      </w:tblGrid>
      <w:tr w14:paraId="2EE2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C5674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功能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883BB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说明</w:t>
            </w:r>
          </w:p>
        </w:tc>
      </w:tr>
      <w:tr w14:paraId="3950A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D88A0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485从站通讯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8A0FD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响应柜控板指令，按拨码ID（1-6）寻址</w:t>
            </w:r>
          </w:p>
        </w:tc>
      </w:tr>
      <w:tr w14:paraId="0933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869A28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BMS多协议通讯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B2330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按配置协议轮询6仓体电池数据：星恒Modbus-RTU/天能自定义/无协议跳过</w:t>
            </w:r>
          </w:p>
        </w:tc>
      </w:tr>
      <w:tr w14:paraId="7C06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0A647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1TN电源协议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70654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与所属充电电源独立485通讯，电压/电流/开关控制（电源自带通断）</w:t>
            </w:r>
          </w:p>
        </w:tc>
      </w:tr>
      <w:tr w14:paraId="0261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4E5E2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充电控制逻辑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4A899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平台/柜控双模式，含电池握手/充满判断/无协议充电/低电流自动停止</w:t>
            </w:r>
          </w:p>
        </w:tc>
      </w:tr>
      <w:tr w14:paraId="75A8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1DA19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状态采集与指示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9DC84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6路红绿LED指示灯控制 + 6路温控采集（可选）</w:t>
            </w:r>
          </w:p>
        </w:tc>
      </w:tr>
      <w:tr w14:paraId="2EA9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74467E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OTA升级与ID管理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F8E05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接收固件包校验写入，拨码开关读取识别</w:t>
            </w:r>
          </w:p>
        </w:tc>
      </w:tr>
    </w:tbl>
    <w:p w14:paraId="037DF204">
      <w:pPr>
        <w:spacing w:line="240" w:lineRule="auto"/>
        <w:rPr>
          <w:sz w:val="24"/>
          <w:szCs w:val="24"/>
        </w:rPr>
      </w:pPr>
    </w:p>
    <w:p w14:paraId="6AFE2B48">
      <w:r>
        <w:br w:type="page"/>
      </w:r>
    </w:p>
    <w:p w14:paraId="53DAF0B8">
      <w:pPr>
        <w:pStyle w:val="2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附件二：软件规格</w:t>
      </w:r>
      <w:r>
        <w:rPr>
          <w:rFonts w:hint="eastAsia"/>
          <w:color w:val="333333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所属</w:t>
      </w:r>
      <w:r>
        <w:rPr>
          <w:rFonts w:hint="eastAsia"/>
        </w:rPr>
        <w:t xml:space="preserve">合同编号： </w:t>
      </w:r>
      <w:r>
        <w:rPr>
          <w:rFonts w:hint="eastAsia" w:cs="宋体"/>
          <w:sz w:val="22"/>
          <w:szCs w:val="22"/>
          <w:u w:val="single"/>
          <w:lang w:val="en-US" w:eastAsia="zh-CN"/>
        </w:rPr>
        <w:t>KF-06062401</w:t>
      </w:r>
    </w:p>
    <w:p w14:paraId="34EE0E8F">
      <w:pPr>
        <w:pStyle w:val="3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第1章 后台管理系统需求</w:t>
      </w:r>
    </w:p>
    <w:p w14:paraId="7CCD8980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1.1 功能模块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9"/>
        <w:gridCol w:w="7537"/>
      </w:tblGrid>
      <w:tr w14:paraId="2C81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6CF3BA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模块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5F54A74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功能要求</w:t>
            </w:r>
          </w:p>
        </w:tc>
      </w:tr>
      <w:tr w14:paraId="301BF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73EB0F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设备管理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66D64F7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实时监控、远程重启、参数配置、OTA固件升级（柜控板+仓控板）</w:t>
            </w:r>
          </w:p>
        </w:tc>
      </w:tr>
      <w:tr w14:paraId="60148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197141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仓体控制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01FD4F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独立电流/电压设置、禁用/解除、状态查看、远程开门</w:t>
            </w:r>
          </w:p>
        </w:tc>
      </w:tr>
      <w:tr w14:paraId="06C0D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75059F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BMS协议配置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58483D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设置当前柜体BMS协议类型（星恒/天能/无协议充电）</w:t>
            </w:r>
          </w:p>
        </w:tc>
      </w:tr>
      <w:tr w14:paraId="766C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07885E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无协议充电参数配置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203D642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设置固定充电电压/电流/停止电流阈值</w:t>
            </w:r>
          </w:p>
        </w:tc>
      </w:tr>
      <w:tr w14:paraId="58B1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44063A2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充电控制模式配置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7096E7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平台/柜控模式切换、特殊ID管理</w:t>
            </w:r>
          </w:p>
        </w:tc>
      </w:tr>
      <w:tr w14:paraId="7B210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53B786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能耗管理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2925432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实时显示/统计电表耗电量数据，按日/月/年生成报表</w:t>
            </w:r>
          </w:p>
        </w:tc>
      </w:tr>
      <w:tr w14:paraId="0F62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7755AF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用户管理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456A71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注册/登录、权限分配（管理员/普通/骑手）</w:t>
            </w:r>
          </w:p>
        </w:tc>
      </w:tr>
      <w:tr w14:paraId="4D69E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7AD9AA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数据统计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4F6914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充电量、使用率、故障率、温控数据、告警统计、能耗统计</w:t>
            </w:r>
          </w:p>
        </w:tc>
      </w:tr>
      <w:tr w14:paraId="0BDBF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469BFC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故障管理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429883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故障记录、工单分配、处理跟踪、解除禁用</w:t>
            </w:r>
          </w:p>
        </w:tc>
      </w:tr>
      <w:tr w14:paraId="4A45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4D30BE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报警阈值管理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6DEAF5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关门超时阈值配置、高温报警阈值配置</w:t>
            </w:r>
          </w:p>
        </w:tc>
      </w:tr>
      <w:tr w14:paraId="33CC0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39AAB6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TCP连接管理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4577F7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连接状态监控、心跳检测、断连告警</w:t>
            </w:r>
          </w:p>
        </w:tc>
      </w:tr>
      <w:tr w14:paraId="2BCB4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66707A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辅助设备控制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20" w:type="dxa"/>
            </w:tcMar>
            <w:vAlign w:val="center"/>
          </w:tcPr>
          <w:p w14:paraId="701982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电磁泵远程通断控制、加热风扇状态监控</w:t>
            </w:r>
          </w:p>
        </w:tc>
      </w:tr>
    </w:tbl>
    <w:p w14:paraId="70109825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1.2 数据模型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8"/>
        <w:gridCol w:w="8797"/>
      </w:tblGrid>
      <w:tr w14:paraId="0DFB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011FF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实体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96BF9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字段</w:t>
            </w:r>
          </w:p>
        </w:tc>
      </w:tr>
      <w:tr w14:paraId="0479F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DC779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充电柜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9BB4B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id/名称/位置/状态/BMS协议类型/无协议充电参数/报警阈值/总耗电量</w:t>
            </w:r>
          </w:p>
        </w:tc>
      </w:tr>
      <w:tr w14:paraId="57E20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8C7C2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仓体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B6DD5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所属电源/所属仓控板ID/状态/电压电流设置/指示灯状态</w:t>
            </w:r>
          </w:p>
        </w:tc>
      </w:tr>
      <w:tr w14:paraId="7C95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A7388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仓控板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51C47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ID/状态/固件版本/OTA进度/6路温控（可选）</w:t>
            </w:r>
          </w:p>
        </w:tc>
      </w:tr>
      <w:tr w14:paraId="15528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8E1F5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柜控板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95EA9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ID/状态/固件版本/OTA进度/TCP状态/4G信号/加热风扇/电磁泵/喷淋/电表耗电量</w:t>
            </w:r>
          </w:p>
        </w:tc>
      </w:tr>
      <w:tr w14:paraId="7C33A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36DB39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充电记录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8725A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仓体ID/开始结束时间/充电量/最高温度/状态</w:t>
            </w:r>
          </w:p>
        </w:tc>
      </w:tr>
      <w:tr w14:paraId="678F5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4C84D9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故障记录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7A1FC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主板ID/故障类型/故障码/时间/处理状态/等级</w:t>
            </w:r>
          </w:p>
        </w:tc>
      </w:tr>
    </w:tbl>
    <w:p w14:paraId="4CC53BFB">
      <w:pPr>
        <w:pStyle w:val="3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第2章 微信小程序需求</w:t>
      </w:r>
    </w:p>
    <w:p w14:paraId="41D872FE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2.1 功能页面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6"/>
        <w:gridCol w:w="8609"/>
      </w:tblGrid>
      <w:tr w14:paraId="61E5C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414D52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页面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31AE29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功能要求</w:t>
            </w:r>
          </w:p>
        </w:tc>
      </w:tr>
      <w:tr w14:paraId="64866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DA5156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首页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7ABBE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充电柜概览仪表盘：在线状态、总耗电量、今日充电量、待处理告警数</w:t>
            </w:r>
          </w:p>
        </w:tc>
      </w:tr>
      <w:tr w14:paraId="1306C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D4F79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设备管理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76650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查看柜控板/仓控板状态、仓体列表及状态、温控数据、电表读数</w:t>
            </w:r>
          </w:p>
        </w:tc>
      </w:tr>
      <w:tr w14:paraId="3C4B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0D558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远程控制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D5FF5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仓体禁用/解除、远程开门、电磁泵通断、接触器合闸/分闸</w:t>
            </w:r>
          </w:p>
        </w:tc>
      </w:tr>
      <w:tr w14:paraId="11D7F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7C483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告警管理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B47A8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实时告警推送、告警列表查看与确认处理</w:t>
            </w:r>
          </w:p>
        </w:tc>
      </w:tr>
      <w:tr w14:paraId="5D19B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FB1DC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数据统计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F9C0D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充电量/能耗/告警统计图表（日/月/年）</w:t>
            </w:r>
          </w:p>
        </w:tc>
      </w:tr>
      <w:tr w14:paraId="43E66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2D0AC9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个人中心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04390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账号信息、修改密码、操作日志</w:t>
            </w:r>
          </w:p>
        </w:tc>
      </w:tr>
    </w:tbl>
    <w:p w14:paraId="425B10C8">
      <w:r>
        <w:br w:type="page"/>
      </w:r>
    </w:p>
    <w:p w14:paraId="30E5B9A3">
      <w:pPr>
        <w:pStyle w:val="2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附件三：交付与验收标准</w:t>
      </w:r>
      <w:r>
        <w:rPr>
          <w:rFonts w:hint="eastAsia"/>
          <w:color w:val="333333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所属</w:t>
      </w:r>
      <w:r>
        <w:rPr>
          <w:rFonts w:hint="eastAsia"/>
        </w:rPr>
        <w:t xml:space="preserve">合同编号： </w:t>
      </w:r>
      <w:r>
        <w:rPr>
          <w:rFonts w:hint="eastAsia" w:cs="宋体"/>
          <w:sz w:val="22"/>
          <w:szCs w:val="22"/>
          <w:u w:val="single"/>
          <w:lang w:val="en-US" w:eastAsia="zh-CN"/>
        </w:rPr>
        <w:t>KF-06062401</w:t>
      </w:r>
    </w:p>
    <w:tbl>
      <w:tblPr>
        <w:tblStyle w:val="12"/>
        <w:tblpPr w:leftFromText="180" w:rightFromText="180" w:vertAnchor="text" w:horzAnchor="page" w:tblpX="1071" w:tblpY="465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3"/>
        <w:gridCol w:w="3370"/>
        <w:gridCol w:w="2040"/>
        <w:gridCol w:w="3532"/>
      </w:tblGrid>
      <w:tr w14:paraId="0C067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AEF54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编号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8E51A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交付物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D38DF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形式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10ADD6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数量</w:t>
            </w:r>
          </w:p>
        </w:tc>
      </w:tr>
      <w:tr w14:paraId="1CD16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6A4C0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BC160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柜控主板（含固件）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C9C04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硬件成品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4004F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3块（含1块备板）</w:t>
            </w:r>
          </w:p>
        </w:tc>
      </w:tr>
      <w:tr w14:paraId="198CA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00437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B4A6A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仓控主板（含固件）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CCC24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硬件成品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8FADD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10块（含4块备板）</w:t>
            </w:r>
          </w:p>
        </w:tc>
      </w:tr>
      <w:tr w14:paraId="50C54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D9A62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1FF7D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后台管理系统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57290B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编译部署包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D1790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1份</w:t>
            </w:r>
          </w:p>
        </w:tc>
      </w:tr>
      <w:tr w14:paraId="2D213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E2315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AA98C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微信小程序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39F9C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编译发布包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5CBD5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1份</w:t>
            </w:r>
          </w:p>
        </w:tc>
      </w:tr>
      <w:tr w14:paraId="3D904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18135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D4353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技术开发文档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41AEC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电子版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3AB58E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1份</w:t>
            </w:r>
          </w:p>
        </w:tc>
      </w:tr>
      <w:tr w14:paraId="21071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F3EB6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152EF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用户操作手册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F4846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电子版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43252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1份</w:t>
            </w:r>
          </w:p>
        </w:tc>
      </w:tr>
      <w:tr w14:paraId="03CD5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68D23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E09AE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运维手册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5D58F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电子版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49AA49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1份</w:t>
            </w:r>
          </w:p>
        </w:tc>
      </w:tr>
      <w:tr w14:paraId="2E93E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FBE37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69611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测试报告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FAB20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电子版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6FD3D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1份</w:t>
            </w:r>
          </w:p>
        </w:tc>
      </w:tr>
    </w:tbl>
    <w:p w14:paraId="4CBC7DFD">
      <w:pPr>
        <w:pStyle w:val="3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1. 交付物清单</w:t>
      </w:r>
    </w:p>
    <w:p w14:paraId="5A858ED1">
      <w:pPr>
        <w:pStyle w:val="10"/>
        <w:keepNext w:val="0"/>
        <w:keepLines w:val="0"/>
        <w:widowControl/>
        <w:suppressLineNumbers w:val="0"/>
        <w:spacing w:line="240" w:lineRule="auto"/>
      </w:pPr>
      <w:r>
        <w:rPr>
          <w:rFonts w:hint="eastAsia" w:ascii="微软雅黑" w:hAnsi="微软雅黑" w:eastAsia="微软雅黑" w:cs="微软雅黑"/>
          <w:color w:val="333333"/>
        </w:rPr>
        <w:t>注：充电柜柜体、充电电源及外部器件（风扇/泵/阀/锁/传感器等）由甲方提供，不在乙方交付范围内。</w:t>
      </w:r>
      <w:r>
        <w:rPr>
          <w:rStyle w:val="15"/>
          <w:rFonts w:hint="eastAsia" w:ascii="微软雅黑" w:hAnsi="微软雅黑" w:eastAsia="微软雅黑" w:cs="微软雅黑"/>
          <w:color w:val="333333"/>
        </w:rPr>
        <w:t>本合同不交付任何源代码。</w:t>
      </w:r>
    </w:p>
    <w:p w14:paraId="651327F6">
      <w:pPr>
        <w:pStyle w:val="3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2. 验收标准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8"/>
        <w:gridCol w:w="8547"/>
      </w:tblGrid>
      <w:tr w14:paraId="139F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2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AAFF3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验收项</w:t>
            </w:r>
          </w:p>
        </w:tc>
        <w:tc>
          <w:tcPr>
            <w:tcW w:w="427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60C18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标准</w:t>
            </w:r>
          </w:p>
        </w:tc>
      </w:tr>
      <w:tr w14:paraId="0C5C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398FB4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硬件验收</w:t>
            </w:r>
          </w:p>
        </w:tc>
        <w:tc>
          <w:tcPr>
            <w:tcW w:w="427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4667EB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各接口功能正常，通讯稳定，电气参数符合设计要求</w:t>
            </w:r>
          </w:p>
        </w:tc>
      </w:tr>
      <w:tr w14:paraId="4E278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78160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固件验收</w:t>
            </w:r>
          </w:p>
        </w:tc>
        <w:tc>
          <w:tcPr>
            <w:tcW w:w="427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14DD8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所有功能码响应正确，通讯延迟≤0.5s，无死机/异常重启</w:t>
            </w:r>
          </w:p>
        </w:tc>
      </w:tr>
      <w:tr w14:paraId="4329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27247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后台验收</w:t>
            </w:r>
          </w:p>
        </w:tc>
        <w:tc>
          <w:tcPr>
            <w:tcW w:w="427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FB873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各管理功能正常，数据展示准确，操作响应≤2s</w:t>
            </w:r>
          </w:p>
        </w:tc>
      </w:tr>
      <w:tr w14:paraId="19524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ECEF9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小程序验收</w:t>
            </w:r>
          </w:p>
        </w:tc>
        <w:tc>
          <w:tcPr>
            <w:tcW w:w="427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0182F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扫码充电流程完整，状态展示与硬件一致</w:t>
            </w:r>
          </w:p>
        </w:tc>
      </w:tr>
      <w:tr w14:paraId="3835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3570D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整机验收</w:t>
            </w:r>
          </w:p>
        </w:tc>
        <w:tc>
          <w:tcPr>
            <w:tcW w:w="427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E6152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乙方到甲方现场，将板子安装至甲方提供的柜体中完成36仓同步充电测试及安全防护功能测试</w:t>
            </w:r>
          </w:p>
        </w:tc>
      </w:tr>
    </w:tbl>
    <w:p w14:paraId="0D5D749A">
      <w:pPr>
        <w:pStyle w:val="3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3. 通讯协议栈</w:t>
      </w:r>
    </w:p>
    <w:p w14:paraId="4438353F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3.1 协议列表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31"/>
        <w:gridCol w:w="7154"/>
      </w:tblGrid>
      <w:tr w14:paraId="7C1DF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1EE0E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97281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说明</w:t>
            </w:r>
          </w:p>
        </w:tc>
      </w:tr>
      <w:tr w14:paraId="5556F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399FE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电源1TN RS485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46C0D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与充电电源通讯，电压/电流设置、状态查询、故障读取</w:t>
            </w:r>
          </w:p>
        </w:tc>
      </w:tr>
      <w:tr w14:paraId="72901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F749C8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星恒BMS Modbus-RTU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F3CACE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读取电池SOC/电压/温度/告警，地址0x16</w:t>
            </w:r>
          </w:p>
        </w:tc>
      </w:tr>
      <w:tr w14:paraId="32648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31A9A4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天能485协议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5E84E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适配天能电池自定义RS485协议</w:t>
            </w:r>
          </w:p>
        </w:tc>
      </w:tr>
      <w:tr w14:paraId="7DBA6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15BD9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电表DL/T645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2AB65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读取柜体总耗电量，定时采集上报</w:t>
            </w:r>
          </w:p>
        </w:tc>
      </w:tr>
      <w:tr w14:paraId="6DE3F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DD99C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仓控-柜控485协议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58EB1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自定义帧结构（帧头/ID/功能码/长度/数据/CRC16），14个功能码</w:t>
            </w:r>
          </w:p>
        </w:tc>
      </w:tr>
      <w:tr w14:paraId="50E9B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92B21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柜控-平台TCP协议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A34355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自定义TCP长连接，含心跳/数据上报/指令下发/OTA</w:t>
            </w:r>
          </w:p>
        </w:tc>
      </w:tr>
    </w:tbl>
    <w:p w14:paraId="2F6EE8AA">
      <w:pPr>
        <w:pStyle w:val="4"/>
        <w:keepNext w:val="0"/>
        <w:keepLines w:val="0"/>
        <w:widowControl/>
        <w:suppressLineNumbers w:val="0"/>
        <w:spacing w:line="240" w:lineRule="auto"/>
      </w:pPr>
      <w:r>
        <w:rPr>
          <w:color w:val="333333"/>
        </w:rPr>
        <w:t>3.2 仓控-柜控485功能码表</w:t>
      </w: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4"/>
        <w:gridCol w:w="4462"/>
        <w:gridCol w:w="3509"/>
      </w:tblGrid>
      <w:tr w14:paraId="2D3BB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8E38B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3A74D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指令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6C03F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  <w:t>方向</w:t>
            </w:r>
          </w:p>
        </w:tc>
      </w:tr>
      <w:tr w14:paraId="61214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498441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0x01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38E42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上传BMS数据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617475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仓控→柜控</w:t>
            </w:r>
          </w:p>
        </w:tc>
      </w:tr>
      <w:tr w14:paraId="61E81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61582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0x02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117D2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上传温控数据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6552A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仓控→柜控</w:t>
            </w:r>
          </w:p>
        </w:tc>
      </w:tr>
      <w:tr w14:paraId="0759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7752F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0x03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EFC83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上传电源状态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18A18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仓控→柜控</w:t>
            </w:r>
          </w:p>
        </w:tc>
      </w:tr>
      <w:tr w14:paraId="52143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724F7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0x06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EA375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上传OTA状态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C4677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仓控→柜控</w:t>
            </w:r>
          </w:p>
        </w:tc>
      </w:tr>
      <w:tr w14:paraId="14C54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861D5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0x82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8C12D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电源参数设置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AF3A6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柜控→仓控</w:t>
            </w:r>
          </w:p>
        </w:tc>
      </w:tr>
      <w:tr w14:paraId="1F422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96F80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0x83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B4F43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指示灯控制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04016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柜控→仓控</w:t>
            </w:r>
          </w:p>
        </w:tc>
      </w:tr>
      <w:tr w14:paraId="58551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60DE1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0x84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3BEA5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查询指令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A337C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柜控→仓控</w:t>
            </w:r>
          </w:p>
        </w:tc>
      </w:tr>
      <w:tr w14:paraId="16AE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8FE6C7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0x85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2B7D3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平台禁用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7835B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柜控→仓控</w:t>
            </w:r>
          </w:p>
        </w:tc>
      </w:tr>
      <w:tr w14:paraId="18529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CFBFEE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0x86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D305C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模式切换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0A44F8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平台→柜控</w:t>
            </w:r>
          </w:p>
        </w:tc>
      </w:tr>
      <w:tr w14:paraId="37249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E6F15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0x87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7346A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接触器控制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226BA3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平台→柜控</w:t>
            </w:r>
          </w:p>
        </w:tc>
      </w:tr>
      <w:tr w14:paraId="180E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66385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0x89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5E9287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OTA升级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7E96D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柜控→仓控</w:t>
            </w:r>
          </w:p>
        </w:tc>
      </w:tr>
      <w:tr w14:paraId="4DCDA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B124F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0x8A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750D31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BMS类型配置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10F5D24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柜控→仓控</w:t>
            </w:r>
          </w:p>
        </w:tc>
      </w:tr>
      <w:tr w14:paraId="6509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6C6B0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0x8B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4E364F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报警阈值配置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6" w:type="dxa"/>
              <w:left w:w="120" w:type="dxa"/>
              <w:bottom w:w="6" w:type="dxa"/>
              <w:right w:w="119" w:type="dxa"/>
            </w:tcMar>
            <w:vAlign w:val="center"/>
          </w:tcPr>
          <w:p w14:paraId="3ED7CA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柜控→仓控</w:t>
            </w:r>
          </w:p>
        </w:tc>
      </w:tr>
    </w:tbl>
    <w:p w14:paraId="3CB7C0F9">
      <w:pPr>
        <w:spacing w:line="240" w:lineRule="auto"/>
        <w:rPr>
          <w:sz w:val="24"/>
          <w:szCs w:val="24"/>
        </w:rPr>
      </w:pPr>
    </w:p>
    <w:p w14:paraId="75594344">
      <w:pPr>
        <w:spacing w:line="240" w:lineRule="auto"/>
      </w:pPr>
    </w:p>
    <w:sectPr>
      <w:footerReference r:id="rId3" w:type="default"/>
      <w:pgSz w:w="11906" w:h="16838"/>
      <w:pgMar w:top="1383" w:right="1080" w:bottom="1383" w:left="108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29D31">
    <w:pPr>
      <w:jc w:val="center"/>
    </w:pPr>
    <w:r>
      <w:rPr>
        <w:rFonts w:ascii="宋体" w:hAnsi="宋体" w:eastAsia="宋体" w:cs="宋体"/>
        <w:sz w:val="20"/>
        <w:szCs w:val="20"/>
      </w:rPr>
      <w:t xml:space="preserve">第 </w:t>
    </w:r>
    <w:r>
      <w:rPr>
        <w:rFonts w:ascii="宋体" w:hAnsi="宋体" w:eastAsia="宋体" w:cs="宋体"/>
        <w:sz w:val="20"/>
        <w:szCs w:val="20"/>
      </w:rPr>
      <w:fldChar w:fldCharType="begin"/>
    </w:r>
    <w:r>
      <w:rPr>
        <w:rFonts w:ascii="宋体" w:hAnsi="宋体" w:eastAsia="宋体" w:cs="宋体"/>
        <w:sz w:val="20"/>
        <w:szCs w:val="20"/>
      </w:rPr>
      <w:instrText xml:space="preserve">PAGE</w:instrText>
    </w:r>
    <w:r>
      <w:rPr>
        <w:rFonts w:ascii="宋体" w:hAnsi="宋体" w:eastAsia="宋体" w:cs="宋体"/>
        <w:sz w:val="20"/>
        <w:szCs w:val="20"/>
      </w:rPr>
      <w:fldChar w:fldCharType="separate"/>
    </w:r>
    <w:r>
      <w:rPr>
        <w:rFonts w:ascii="宋体" w:hAnsi="宋体" w:eastAsia="宋体" w:cs="宋体"/>
        <w:sz w:val="20"/>
        <w:szCs w:val="20"/>
      </w:rPr>
      <w:fldChar w:fldCharType="end"/>
    </w:r>
    <w:r>
      <w:rPr>
        <w:rFonts w:ascii="宋体" w:hAnsi="宋体" w:eastAsia="宋体" w:cs="宋体"/>
        <w:sz w:val="20"/>
        <w:szCs w:val="20"/>
      </w:rPr>
      <w:t xml:space="preserve"> 页 / 共 </w:t>
    </w:r>
    <w:r>
      <w:rPr>
        <w:rFonts w:ascii="宋体" w:hAnsi="宋体" w:eastAsia="宋体" w:cs="宋体"/>
        <w:sz w:val="20"/>
        <w:szCs w:val="20"/>
      </w:rPr>
      <w:fldChar w:fldCharType="begin"/>
    </w:r>
    <w:r>
      <w:rPr>
        <w:rFonts w:ascii="宋体" w:hAnsi="宋体" w:eastAsia="宋体" w:cs="宋体"/>
        <w:sz w:val="20"/>
        <w:szCs w:val="20"/>
      </w:rPr>
      <w:instrText xml:space="preserve">NUMPAGES</w:instrText>
    </w:r>
    <w:r>
      <w:rPr>
        <w:rFonts w:ascii="宋体" w:hAnsi="宋体" w:eastAsia="宋体" w:cs="宋体"/>
        <w:sz w:val="20"/>
        <w:szCs w:val="20"/>
      </w:rPr>
      <w:fldChar w:fldCharType="separate"/>
    </w:r>
    <w:r>
      <w:rPr>
        <w:rFonts w:ascii="宋体" w:hAnsi="宋体" w:eastAsia="宋体" w:cs="宋体"/>
        <w:sz w:val="20"/>
        <w:szCs w:val="20"/>
      </w:rPr>
      <w:fldChar w:fldCharType="end"/>
    </w:r>
    <w:r>
      <w:rPr>
        <w:rFonts w:ascii="宋体" w:hAnsi="宋体" w:eastAsia="宋体" w:cs="宋体"/>
        <w:sz w:val="20"/>
        <w:szCs w:val="20"/>
      </w:rPr>
      <w:t xml:space="preserve"> 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B0A7E8"/>
    <w:multiLevelType w:val="singleLevel"/>
    <w:tmpl w:val="85B0A7E8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915B1708"/>
    <w:multiLevelType w:val="singleLevel"/>
    <w:tmpl w:val="915B170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CE3DE15E"/>
    <w:multiLevelType w:val="singleLevel"/>
    <w:tmpl w:val="CE3DE15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D1721C4A"/>
    <w:multiLevelType w:val="multilevel"/>
    <w:tmpl w:val="D1721C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464D3AFD"/>
    <w:multiLevelType w:val="singleLevel"/>
    <w:tmpl w:val="464D3AF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3783E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paragraph" w:styleId="2">
    <w:name w:val="heading 1"/>
    <w:basedOn w:val="1"/>
    <w:next w:val="1"/>
    <w:qFormat/>
    <w:uiPriority w:val="0"/>
    <w:pPr>
      <w:spacing w:before="360" w:after="200"/>
      <w:outlineLvl w:val="0"/>
    </w:pPr>
    <w:rPr>
      <w:rFonts w:ascii="黑体" w:hAnsi="黑体" w:eastAsia="黑体" w:cs="黑体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0"/>
    <w:pPr>
      <w:spacing w:before="240" w:after="120"/>
      <w:outlineLvl w:val="1"/>
    </w:pPr>
    <w:rPr>
      <w:rFonts w:ascii="黑体" w:hAnsi="黑体" w:eastAsia="黑体" w:cs="黑体"/>
      <w:b/>
      <w:bCs/>
      <w:sz w:val="28"/>
      <w:szCs w:val="28"/>
    </w:rPr>
  </w:style>
  <w:style w:type="paragraph" w:styleId="4">
    <w:name w:val="heading 3"/>
    <w:basedOn w:val="1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1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20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1"/>
      <w:szCs w:val="21"/>
      <w:lang w:val="en-US" w:eastAsia="zh-CN" w:bidi="ar"/>
    </w:rPr>
  </w:style>
  <w:style w:type="paragraph" w:styleId="11">
    <w:name w:val="Title"/>
    <w:qFormat/>
    <w:uiPriority w:val="0"/>
    <w:rPr>
      <w:rFonts w:ascii="宋体" w:hAnsi="宋体" w:eastAsia="宋体" w:cs="宋体"/>
      <w:sz w:val="56"/>
      <w:szCs w:val="56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ndnote reference"/>
    <w:semiHidden/>
    <w:unhideWhenUsed/>
    <w:uiPriority w:val="99"/>
    <w:rPr>
      <w:vertAlign w:val="superscript"/>
    </w:rPr>
  </w:style>
  <w:style w:type="character" w:styleId="17">
    <w:name w:val="Hyperlink"/>
    <w:unhideWhenUsed/>
    <w:uiPriority w:val="99"/>
    <w:rPr>
      <w:color w:val="0563C1"/>
      <w:u w:val="single"/>
    </w:rPr>
  </w:style>
  <w:style w:type="character" w:styleId="18">
    <w:name w:val="footnote reference"/>
    <w:semiHidden/>
    <w:unhideWhenUsed/>
    <w:uiPriority w:val="99"/>
    <w:rPr>
      <w:vertAlign w:val="superscript"/>
    </w:rPr>
  </w:style>
  <w:style w:type="paragraph" w:styleId="19">
    <w:name w:val="List Paragraph"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20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21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1106</Words>
  <Characters>1652</Characters>
  <TotalTime>3</TotalTime>
  <ScaleCrop>false</ScaleCrop>
  <LinksUpToDate>false</LinksUpToDate>
  <CharactersWithSpaces>1702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2026-06-24T08:08:00Z</dcterms:created>
  <dc:creator>CodeBuddy</dc:creator>
  <cp:lastModifiedBy>陈俊</cp:lastModifiedBy>
  <dcterms:modified xsi:type="dcterms:W3CDTF">2026-06-24T09:14:18Z</dcterms:modified>
  <dc:title>36仓体直流电瓶车充电柜开发合同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eyJoZGlkIjoiYWUxNTFkYzhkYThjZjg3ZTVmYzY4MWIwYTA3MTNiOTQiLCJ1c2VySWQiOiIxNDQzMjI4MTkwIn0=</vt:lpwstr>
  </property>
  <property fmtid="{D5CDD505-2E9C-101B-9397-08002B2CF9AE}" pid="3" name="KSOProductBuildVer">
    <vt:lpwstr>2052-12.1.0.26895</vt:lpwstr>
  </property>
  <property fmtid="{D5CDD505-2E9C-101B-9397-08002B2CF9AE}" pid="4" name="ICV">
    <vt:lpwstr>B1B636508EF747C6885D40C7CF1D5752_12</vt:lpwstr>
  </property>
</Properties>
</file>